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50" w:rsidRPr="008B64DE" w:rsidRDefault="00597F50" w:rsidP="00597F50">
      <w:pPr>
        <w:jc w:val="center"/>
        <w:rPr>
          <w:rFonts w:ascii="Times New Roman" w:hAnsi="Times New Roman" w:cs="Times New Roman"/>
          <w:b/>
          <w:color w:val="17365D" w:themeColor="text2" w:themeShade="BF"/>
          <w:sz w:val="32"/>
        </w:rPr>
      </w:pPr>
      <w:r w:rsidRPr="008B64DE">
        <w:rPr>
          <w:rFonts w:ascii="Times New Roman" w:hAnsi="Times New Roman" w:cs="Times New Roman"/>
          <w:b/>
          <w:color w:val="17365D" w:themeColor="text2" w:themeShade="BF"/>
          <w:sz w:val="32"/>
        </w:rPr>
        <w:t>Информация о результатах проверки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486"/>
      </w:tblGrid>
      <w:tr w:rsidR="00337999" w:rsidRPr="008B64DE" w:rsidTr="00930542">
        <w:trPr>
          <w:trHeight w:val="121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Объект контроля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0B4FBD" w:rsidP="00146313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муниципальное </w:t>
            </w:r>
            <w:r w:rsidR="00146313">
              <w:rPr>
                <w:rFonts w:ascii="Times New Roman" w:eastAsia="Lucida Sans Unicode" w:hAnsi="Times New Roman" w:cs="Times New Roman"/>
                <w:sz w:val="28"/>
                <w:szCs w:val="28"/>
              </w:rPr>
              <w:t>бюджет</w:t>
            </w:r>
            <w:r w:rsidR="00730A41">
              <w:rPr>
                <w:rFonts w:ascii="Times New Roman" w:eastAsia="Lucida Sans Unicode" w:hAnsi="Times New Roman" w:cs="Times New Roman"/>
                <w:sz w:val="28"/>
                <w:szCs w:val="28"/>
              </w:rPr>
              <w:t>ное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дошкольное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образовательное 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учреждение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детский сад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«</w:t>
            </w:r>
            <w:r w:rsidR="00146313">
              <w:rPr>
                <w:rFonts w:ascii="Times New Roman" w:eastAsia="Lucida Sans Unicode" w:hAnsi="Times New Roman" w:cs="Times New Roman"/>
                <w:sz w:val="28"/>
                <w:szCs w:val="28"/>
              </w:rPr>
              <w:t>Теремок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» 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(сокращенное наименование – 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М</w:t>
            </w:r>
            <w:r w:rsidR="00146313">
              <w:rPr>
                <w:rFonts w:ascii="Times New Roman" w:eastAsia="Lucida Sans Unicode" w:hAnsi="Times New Roman" w:cs="Times New Roman"/>
                <w:sz w:val="28"/>
                <w:szCs w:val="28"/>
              </w:rPr>
              <w:t>Б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ДОУ</w:t>
            </w:r>
            <w:r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д</w:t>
            </w:r>
            <w:r w:rsidR="00146313">
              <w:rPr>
                <w:rFonts w:ascii="Times New Roman" w:eastAsia="Lucida Sans Unicode" w:hAnsi="Times New Roman" w:cs="Times New Roman"/>
                <w:sz w:val="28"/>
                <w:szCs w:val="28"/>
              </w:rPr>
              <w:t>етский сад</w:t>
            </w:r>
            <w:r w:rsidR="006820F9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«</w:t>
            </w:r>
            <w:r w:rsidR="00146313">
              <w:rPr>
                <w:rFonts w:ascii="Times New Roman" w:eastAsia="Lucida Sans Unicode" w:hAnsi="Times New Roman" w:cs="Times New Roman"/>
                <w:sz w:val="28"/>
                <w:szCs w:val="28"/>
              </w:rPr>
              <w:t>Теремок</w:t>
            </w:r>
            <w:r w:rsidR="007A3AF0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»</w:t>
            </w:r>
            <w:r w:rsidR="002D3DBE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)</w:t>
            </w:r>
            <w:r w:rsidR="00534594" w:rsidRPr="00DB0676">
              <w:rPr>
                <w:rFonts w:ascii="Times New Roman" w:eastAsia="Lucida Sans Unicode" w:hAnsi="Times New Roman" w:cs="Times New Roman"/>
                <w:sz w:val="28"/>
                <w:szCs w:val="28"/>
              </w:rPr>
              <w:t>.</w:t>
            </w:r>
          </w:p>
        </w:tc>
      </w:tr>
      <w:tr w:rsidR="00337999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33799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Наименование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999" w:rsidRPr="00DB0676" w:rsidRDefault="008B64DE" w:rsidP="006820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>роверка (ревизия) финансово-хозяйственной деятельности.</w:t>
            </w:r>
          </w:p>
        </w:tc>
      </w:tr>
      <w:tr w:rsidR="008B64DE" w:rsidRPr="008B64DE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Основание для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89212D" w:rsidP="0014631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/>
                <w:sz w:val="28"/>
                <w:szCs w:val="28"/>
              </w:rPr>
              <w:t>Приказы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финансового управления администрации Бутурлинского муниципального округа Нижегородской области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 от </w:t>
            </w:r>
            <w:r w:rsidR="00730A41">
              <w:rPr>
                <w:rFonts w:ascii="Times New Roman" w:hAnsi="Times New Roman"/>
                <w:sz w:val="28"/>
                <w:szCs w:val="28"/>
              </w:rPr>
              <w:t>2</w:t>
            </w:r>
            <w:r w:rsidR="00146313">
              <w:rPr>
                <w:rFonts w:ascii="Times New Roman" w:hAnsi="Times New Roman"/>
                <w:sz w:val="28"/>
                <w:szCs w:val="28"/>
              </w:rPr>
              <w:t>5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>0</w:t>
            </w:r>
            <w:r w:rsidR="00146313">
              <w:rPr>
                <w:rFonts w:ascii="Times New Roman" w:hAnsi="Times New Roman"/>
                <w:sz w:val="28"/>
                <w:szCs w:val="28"/>
              </w:rPr>
              <w:t>2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>.202</w:t>
            </w:r>
            <w:r w:rsidR="00730A41">
              <w:rPr>
                <w:rFonts w:ascii="Times New Roman" w:hAnsi="Times New Roman"/>
                <w:sz w:val="28"/>
                <w:szCs w:val="28"/>
              </w:rPr>
              <w:t>6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DB1EBF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820F9" w:rsidRPr="00DB0676">
              <w:rPr>
                <w:rFonts w:ascii="Times New Roman" w:hAnsi="Times New Roman"/>
                <w:sz w:val="28"/>
                <w:szCs w:val="28"/>
              </w:rPr>
              <w:t>1</w:t>
            </w:r>
            <w:r w:rsidR="00146313">
              <w:rPr>
                <w:rFonts w:ascii="Times New Roman" w:hAnsi="Times New Roman"/>
                <w:sz w:val="28"/>
                <w:szCs w:val="28"/>
              </w:rPr>
              <w:t>0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B1BFF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2D3DBE" w:rsidRPr="00DB0676">
              <w:rPr>
                <w:rFonts w:ascii="Times New Roman" w:hAnsi="Times New Roman"/>
                <w:sz w:val="28"/>
                <w:szCs w:val="28"/>
              </w:rPr>
              <w:t xml:space="preserve">О проведении плановой проверки в отношении </w:t>
            </w:r>
            <w:r w:rsidR="000B4FBD" w:rsidRPr="00DB0676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 w:rsidR="00146313">
              <w:rPr>
                <w:rFonts w:ascii="Times New Roman" w:hAnsi="Times New Roman"/>
                <w:sz w:val="28"/>
                <w:szCs w:val="28"/>
              </w:rPr>
              <w:t>бюджет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ного дошкольного образовательного учреждение детского сада</w:t>
            </w:r>
            <w:r w:rsidR="000B4FBD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>«</w:t>
            </w:r>
            <w:r w:rsidR="00146313">
              <w:rPr>
                <w:rFonts w:ascii="Times New Roman" w:hAnsi="Times New Roman"/>
                <w:sz w:val="28"/>
                <w:szCs w:val="28"/>
              </w:rPr>
              <w:t>Теремок</w:t>
            </w:r>
            <w:r w:rsidR="008B64DE" w:rsidRPr="00DB0676">
              <w:rPr>
                <w:rFonts w:ascii="Times New Roman" w:hAnsi="Times New Roman"/>
                <w:sz w:val="28"/>
                <w:szCs w:val="28"/>
              </w:rPr>
              <w:t>»</w:t>
            </w:r>
            <w:r w:rsidR="007A3AF0" w:rsidRPr="00DB06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от 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.12.202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5</w:t>
            </w:r>
            <w:r w:rsidR="00B4245B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№ 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7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«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 утверждении плана контрольных мероприятий в рамках внутреннего муниципального финансового контроля на 202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6</w:t>
            </w:r>
            <w:r w:rsidR="007A3AF0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год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»</w:t>
            </w:r>
            <w:r w:rsidR="00D61828"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.</w:t>
            </w:r>
            <w:r w:rsidRPr="00DB0676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5E5193" w:rsidRPr="00874AC0" w:rsidTr="00DB0676">
        <w:trPr>
          <w:trHeight w:val="108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Сроки проведения контрольного мероприятия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5E5193" w:rsidP="00C10D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146313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6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4BBA"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4631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B796C" w:rsidRPr="00DB067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463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B0676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EF6F38" w:rsidRPr="00DB06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0A4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5E5193" w:rsidRPr="00DB0676" w:rsidRDefault="005E5193" w:rsidP="0043303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DB0676" w:rsidRDefault="00CB1E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Проверенный период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193" w:rsidRPr="00DB0676" w:rsidRDefault="00AD40BB" w:rsidP="00730A41">
            <w:pPr>
              <w:rPr>
                <w:rFonts w:ascii="Times New Roman" w:hAnsi="Times New Roman" w:cs="Times New Roman"/>
                <w:sz w:val="28"/>
              </w:rPr>
            </w:pPr>
            <w:r w:rsidRPr="00DB0676">
              <w:rPr>
                <w:rFonts w:ascii="Times New Roman" w:hAnsi="Times New Roman" w:cs="Times New Roman"/>
                <w:sz w:val="28"/>
              </w:rPr>
              <w:t>с 01.01.202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 по 31.12.202</w:t>
            </w:r>
            <w:r w:rsidR="00730A41">
              <w:rPr>
                <w:rFonts w:ascii="Times New Roman" w:hAnsi="Times New Roman" w:cs="Times New Roman"/>
                <w:sz w:val="28"/>
              </w:rPr>
              <w:t>5</w:t>
            </w:r>
            <w:r w:rsidRPr="00DB0676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E519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74AC0">
              <w:rPr>
                <w:rFonts w:ascii="Times New Roman" w:hAnsi="Times New Roman" w:cs="Times New Roman"/>
                <w:sz w:val="28"/>
              </w:rPr>
              <w:t xml:space="preserve">Выявленные нарушения 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2E0" w:rsidRDefault="00146313" w:rsidP="00146313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Сокращенное наименование Учреждения в Уставе, утвержденного  постановлением администрации </w:t>
            </w:r>
            <w:proofErr w:type="spellStart"/>
            <w:r w:rsidRP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Бутурлинского</w:t>
            </w:r>
            <w:proofErr w:type="spellEnd"/>
            <w:r w:rsidRP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района Нижегородской области от  30.03.2015 № 359 (с изменениями от 25.01.2021) не соответствует сокращенному наименованию указанное  в Едином государственном реестре юридических лиц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313" w:rsidRDefault="00146313" w:rsidP="00146313">
            <w:pPr>
              <w:pStyle w:val="a5"/>
              <w:numPr>
                <w:ilvl w:val="0"/>
                <w:numId w:val="10"/>
              </w:numPr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F0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2.7 Устава  не соответствует требованиям п.3 ст. 69.2 БК РФ  и п. 7 ст. 9.2 Федерального закона от 12.01.1996 № 7-ФЗ «О некоммерческих организациях», так как Правительство  Нижегородской области   определяет данный порядок в отношении только государственных учреждений Нижегородской области</w:t>
            </w:r>
          </w:p>
          <w:p w:rsidR="00DB0676" w:rsidRDefault="00730A41" w:rsidP="00146313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B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 6 ст. 69.2 БК РФ Учреждением не выполнено муниципальное задание по услуге «</w:t>
            </w:r>
            <w:r w:rsidR="00146313" w:rsidRP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  <w:r w:rsidRPr="000B5C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более чем на допусти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мое (возможное) отклонение (5%)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30A41" w:rsidRPr="00730A41" w:rsidRDefault="00730A41" w:rsidP="00730A41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нарушение п. 15 Порядка предоставления информации государственным (муниципальным) учреждением, ее размещения на официальном </w:t>
            </w:r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сайте в сети Интернет и ведения указанного сайта, утвержденного приказом Минфина России от 21.07.2011 № 86н,  </w:t>
            </w:r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измененное муниципальное задание № 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утвержденное приказом управления образования администрации </w:t>
            </w:r>
            <w:proofErr w:type="spellStart"/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Бутурлинского</w:t>
            </w:r>
            <w:proofErr w:type="spellEnd"/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муниципального округа Нижегородской области от 25.12.2025 № 477 размещено на официальном сайте в сети Интернет www.bus.gov.ru 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.2026, т.е</w:t>
            </w:r>
            <w:proofErr w:type="gramEnd"/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 нарушением установленного срока (на 3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рабочих дней</w:t>
            </w:r>
            <w:r w:rsidR="00146313"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146313" w:rsidRPr="009F01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отчет о выполнении муниципального задания за 2025 год размещен 05.03.2026, т.е. с нарушением установленного срока (на 19 рабочих дней)</w:t>
            </w:r>
            <w:r w:rsidRP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DB0676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п. 6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ребований к составлению и утверждению плана финансово-хозяйственной деятельности государственного (муниципального) учреждения, утвержденн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ых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приказом Министерства финансов Российской Федерации от 31.08.2018  № 186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56CD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измененном Плане ФХД  от 05.02.2025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строка 0002 (остаток средств на конец текущего финансового периода) или строка 2000 (выплаты по расходам) не заполнена. Согласно данному пункту план должен составляться  по кассовому методу, то есть необходимо отразить в нем плановый объем кассовых выплат и поступлений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Default="00730A41" w:rsidP="00DB0676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п. 1 ст. 516 ГК РФ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146313" w:rsidRPr="00C279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ч. 13.1 ст. 34  Закона № 44-ФЗ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r w:rsidRPr="00793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аказчиком несвоевременно произведены расчеты за поставленные товары, не в соответствии с условиями заключенных договоров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случа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ев</w:t>
            </w:r>
            <w:r w:rsidRPr="0006382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B0676" w:rsidRDefault="00146313" w:rsidP="00DB0676">
            <w:pPr>
              <w:pStyle w:val="a5"/>
              <w:numPr>
                <w:ilvl w:val="0"/>
                <w:numId w:val="10"/>
              </w:numPr>
              <w:ind w:left="33"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ч. 13.1 ст. 34 Закона № 44-ФЗ срок оплаты Заказчиком поставленного товара, выполненной работы (ее результатов), оказанной услуги  указан неверно. Срок оплаты следовало указывать,  не более 10 рабочих дней </w:t>
            </w:r>
            <w:proofErr w:type="gramStart"/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даты подписания</w:t>
            </w:r>
            <w:proofErr w:type="gramEnd"/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документа о приемке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двух </w:t>
            </w:r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договорах</w:t>
            </w:r>
            <w:r w:rsidR="00DB0676" w:rsidRPr="00DB06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6313" w:rsidRPr="00146313" w:rsidRDefault="00146313" w:rsidP="00146313">
            <w:pPr>
              <w:pStyle w:val="a5"/>
              <w:numPr>
                <w:ilvl w:val="0"/>
                <w:numId w:val="10"/>
              </w:numPr>
              <w:ind w:left="33" w:firstLine="32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ст.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425 ГК РФ в договоре НЕЛЬЗЯ прописывать, что условия заключенного контракта применяются к их отношениям, возникшим до заключения контракта, т.к. данное условие противоречит сути Закона 44-ФЗ (закупка у единственного поставщика начинается с даты заключения контракта (п.3ст.3, письмо Минфина России от 01.07.2019 №24-03-07/48249 "О рассмотрении обращения").</w:t>
            </w:r>
            <w:proofErr w:type="gramEnd"/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отношении 5 </w:t>
            </w:r>
            <w:r w:rsidRPr="00FB04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договоров возникли обязательства до заключения договора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Default="00146313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9.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Положения об оплате труда</w:t>
            </w:r>
            <w:r w:rsidRPr="00A077F4">
              <w:t xml:space="preserve"> 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работников муниципального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ного дошкольного образовательного учреждения детского сада «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Теремок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 утвержденно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приказом Учреждения от 0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A077F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.02.2024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4/1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неверно начислена заработная плата 5 сотрудникам</w:t>
            </w:r>
            <w:r w:rsidR="00DB0676" w:rsidRPr="002235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Pr="00ED212D" w:rsidRDefault="00146313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DB06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FA5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Порядка определения выплат стимулирующего характера работникам руководящего, педагогического и учебно-вспомогательного состава организаций за качество и высокие результаты работы, за интенсивность и высокие результаты работы (п.3.14 приложение № 3 Положения об оплате труда) осуществлено премирование без оформления итоговых оценочных листов с указанием показателей материального стимулирования</w:t>
            </w:r>
            <w:r w:rsidR="00DB0676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Pr="00ED212D" w:rsidRDefault="00146313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  <w:r w:rsidR="00DB0676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A5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тавка заработной платы операторам газовой котельной устанавливалась исходя из 5-го разряда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 время как</w:t>
            </w:r>
            <w:r w:rsidRPr="00FA5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Pr="00FA5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огласно Протокола № 160/6 Заседания аттестационной </w:t>
            </w:r>
            <w:proofErr w:type="gramStart"/>
            <w:r w:rsidRPr="00FA5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комиссии</w:t>
            </w:r>
            <w:proofErr w:type="gramEnd"/>
            <w:r w:rsidRPr="00FA55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ЧУ ДПО «Персонал Центр-НН» от 20.08.2025 данные сотрудники допущены к работе в качестве операторов 2 разряда</w:t>
            </w:r>
            <w:r w:rsidR="00DB0676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DB0676" w:rsidRDefault="00DB0676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146313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нарушение п.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46313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2.8 </w:t>
            </w:r>
            <w:proofErr w:type="spellStart"/>
            <w:r w:rsidR="00146313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СанПина</w:t>
            </w:r>
            <w:proofErr w:type="spellEnd"/>
            <w:r w:rsidR="00146313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2.3/2.4.3590-20 </w:t>
            </w:r>
            <w:r w:rsidR="00146313" w:rsidRPr="006F4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Санитарно-эпидемиологических  требований к организации общественного питания населения, утвержденного постановлением главного государственного санитарного врача Российской Федерации от 27.10.2020 № 32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146313" w:rsidRPr="00ED212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установлено, что закладка продуктов осуществлялась не по рецептуре технологической карты блюда</w:t>
            </w:r>
            <w:r w:rsidRPr="00F745A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146313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приложения № 5 Приказа Минфина России № 52н в табеле учета посещаемости детей (ф.0504608)  отмечаются дни посещения ребенком шифром «п», что не предусмотрено учетной политикой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146313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аличие воспитанников в меню-требованиях не соответствует количеству воспитанников </w:t>
            </w:r>
            <w:r w:rsidR="001463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указанных </w:t>
            </w:r>
            <w:r w:rsidR="00146313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табелях посещаемости учета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730A41" w:rsidRDefault="00730A41" w:rsidP="00DB0676">
            <w:pPr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A6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7A6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="007A625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нарушение бюллетеня рекомендуемых предельных максимальных цен на товары и услуги, закупаемые для нужд государственных бюджетных учреждений Нижегородской области</w:t>
            </w:r>
            <w:r w:rsidR="007A6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A625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поставка продуктов питания (конфет</w:t>
            </w:r>
            <w:r w:rsidR="007A62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ы шоколадные</w:t>
            </w:r>
            <w:r w:rsidR="007A625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осуществлялась по ценам, превышающим цены, </w:t>
            </w:r>
            <w:r w:rsidR="007A625A" w:rsidRPr="003631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установленные Бюллетенем рекомендуемых предельных максимальных цен на товары, закупаемые для нужд Нижегородской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7A625A" w:rsidRPr="00DB0676" w:rsidRDefault="007A625A" w:rsidP="007A625A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="00730A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615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нарушение приложения № 9 </w:t>
            </w:r>
            <w:proofErr w:type="spellStart"/>
            <w:r w:rsidRPr="00615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СанПина</w:t>
            </w:r>
            <w:proofErr w:type="spellEnd"/>
            <w:r w:rsidRPr="00615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2.3/2.4.3590-20 от 27.10.2020 в утвержденном  цикличном меню завышены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(занижены)</w:t>
            </w:r>
            <w:r w:rsidRPr="00615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нормы порций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некоторых </w:t>
            </w:r>
            <w:r w:rsidRPr="00615B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вторых блюд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344EDA" w:rsidRPr="00DB0676" w:rsidRDefault="00344EDA" w:rsidP="00DB0676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5193" w:rsidRPr="00874AC0" w:rsidTr="00F626F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193" w:rsidRPr="00874AC0" w:rsidRDefault="0053459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4594">
              <w:rPr>
                <w:rFonts w:ascii="Times New Roman" w:hAnsi="Times New Roman" w:cs="Times New Roman"/>
                <w:sz w:val="28"/>
              </w:rPr>
              <w:lastRenderedPageBreak/>
              <w:t>Принятые решения и меры по устранению нарушений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193" w:rsidRPr="00B872E0" w:rsidRDefault="008F6B7D" w:rsidP="00B872E0">
            <w:pPr>
              <w:ind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72E0">
              <w:rPr>
                <w:rFonts w:ascii="Times New Roman" w:hAnsi="Times New Roman" w:cs="Times New Roman"/>
                <w:sz w:val="28"/>
                <w:szCs w:val="28"/>
              </w:rPr>
              <w:t>Направлено</w:t>
            </w:r>
            <w:r w:rsidR="00BE0B0A" w:rsidRPr="00B872E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представление</w:t>
            </w:r>
          </w:p>
        </w:tc>
      </w:tr>
    </w:tbl>
    <w:p w:rsidR="00BC3BD7" w:rsidRPr="00874AC0" w:rsidRDefault="00BC3BD7" w:rsidP="00620EF2"/>
    <w:sectPr w:rsidR="00BC3BD7" w:rsidRPr="00874AC0" w:rsidSect="003D6F3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3419"/>
    <w:multiLevelType w:val="hybridMultilevel"/>
    <w:tmpl w:val="D68C640C"/>
    <w:lvl w:ilvl="0" w:tplc="41FA9B00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3" w:hanging="360"/>
      </w:pPr>
    </w:lvl>
    <w:lvl w:ilvl="2" w:tplc="0419001B" w:tentative="1">
      <w:start w:val="1"/>
      <w:numFmt w:val="lowerRoman"/>
      <w:lvlText w:val="%3."/>
      <w:lvlJc w:val="right"/>
      <w:pPr>
        <w:ind w:left="1783" w:hanging="180"/>
      </w:pPr>
    </w:lvl>
    <w:lvl w:ilvl="3" w:tplc="0419000F" w:tentative="1">
      <w:start w:val="1"/>
      <w:numFmt w:val="decimal"/>
      <w:lvlText w:val="%4."/>
      <w:lvlJc w:val="left"/>
      <w:pPr>
        <w:ind w:left="2503" w:hanging="360"/>
      </w:pPr>
    </w:lvl>
    <w:lvl w:ilvl="4" w:tplc="04190019" w:tentative="1">
      <w:start w:val="1"/>
      <w:numFmt w:val="lowerLetter"/>
      <w:lvlText w:val="%5."/>
      <w:lvlJc w:val="left"/>
      <w:pPr>
        <w:ind w:left="3223" w:hanging="360"/>
      </w:pPr>
    </w:lvl>
    <w:lvl w:ilvl="5" w:tplc="0419001B" w:tentative="1">
      <w:start w:val="1"/>
      <w:numFmt w:val="lowerRoman"/>
      <w:lvlText w:val="%6."/>
      <w:lvlJc w:val="right"/>
      <w:pPr>
        <w:ind w:left="3943" w:hanging="180"/>
      </w:pPr>
    </w:lvl>
    <w:lvl w:ilvl="6" w:tplc="0419000F" w:tentative="1">
      <w:start w:val="1"/>
      <w:numFmt w:val="decimal"/>
      <w:lvlText w:val="%7."/>
      <w:lvlJc w:val="left"/>
      <w:pPr>
        <w:ind w:left="4663" w:hanging="360"/>
      </w:pPr>
    </w:lvl>
    <w:lvl w:ilvl="7" w:tplc="04190019" w:tentative="1">
      <w:start w:val="1"/>
      <w:numFmt w:val="lowerLetter"/>
      <w:lvlText w:val="%8."/>
      <w:lvlJc w:val="left"/>
      <w:pPr>
        <w:ind w:left="5383" w:hanging="360"/>
      </w:pPr>
    </w:lvl>
    <w:lvl w:ilvl="8" w:tplc="0419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1">
    <w:nsid w:val="4857759E"/>
    <w:multiLevelType w:val="hybridMultilevel"/>
    <w:tmpl w:val="FF26043C"/>
    <w:lvl w:ilvl="0" w:tplc="E098D0B4">
      <w:start w:val="1"/>
      <w:numFmt w:val="decimal"/>
      <w:lvlText w:val="%1."/>
      <w:lvlJc w:val="left"/>
      <w:pPr>
        <w:ind w:left="58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50075704"/>
    <w:multiLevelType w:val="hybridMultilevel"/>
    <w:tmpl w:val="62E8B64E"/>
    <w:lvl w:ilvl="0" w:tplc="A4F0F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C14B6E"/>
    <w:multiLevelType w:val="hybridMultilevel"/>
    <w:tmpl w:val="F1C0179C"/>
    <w:lvl w:ilvl="0" w:tplc="04602D2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3F5DBE"/>
    <w:multiLevelType w:val="hybridMultilevel"/>
    <w:tmpl w:val="63A2C4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314C64"/>
    <w:multiLevelType w:val="hybridMultilevel"/>
    <w:tmpl w:val="66764520"/>
    <w:lvl w:ilvl="0" w:tplc="597EA2E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6B3D5A72"/>
    <w:multiLevelType w:val="hybridMultilevel"/>
    <w:tmpl w:val="D7F09D34"/>
    <w:lvl w:ilvl="0" w:tplc="0AA82D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BA5A72"/>
    <w:multiLevelType w:val="hybridMultilevel"/>
    <w:tmpl w:val="4B50B6C0"/>
    <w:lvl w:ilvl="0" w:tplc="57E099B6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D21294"/>
    <w:multiLevelType w:val="hybridMultilevel"/>
    <w:tmpl w:val="740EA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FF64D0"/>
    <w:multiLevelType w:val="hybridMultilevel"/>
    <w:tmpl w:val="F4088E0A"/>
    <w:lvl w:ilvl="0" w:tplc="D6C26B4E">
      <w:start w:val="1"/>
      <w:numFmt w:val="decimal"/>
      <w:lvlText w:val="%1."/>
      <w:lvlJc w:val="left"/>
      <w:pPr>
        <w:ind w:left="1035" w:hanging="6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6"/>
    <w:rsid w:val="000172B0"/>
    <w:rsid w:val="00057C86"/>
    <w:rsid w:val="00067B95"/>
    <w:rsid w:val="00092201"/>
    <w:rsid w:val="0009768E"/>
    <w:rsid w:val="000B447F"/>
    <w:rsid w:val="000B4BF4"/>
    <w:rsid w:val="000B4FBD"/>
    <w:rsid w:val="000B5008"/>
    <w:rsid w:val="000E1A51"/>
    <w:rsid w:val="000E630A"/>
    <w:rsid w:val="000F0A64"/>
    <w:rsid w:val="001015AD"/>
    <w:rsid w:val="001109DD"/>
    <w:rsid w:val="00140225"/>
    <w:rsid w:val="00140514"/>
    <w:rsid w:val="00146313"/>
    <w:rsid w:val="00154BB7"/>
    <w:rsid w:val="00166FEC"/>
    <w:rsid w:val="00170D48"/>
    <w:rsid w:val="00173A10"/>
    <w:rsid w:val="00185CF2"/>
    <w:rsid w:val="0018798B"/>
    <w:rsid w:val="00187B03"/>
    <w:rsid w:val="001A5AC1"/>
    <w:rsid w:val="001B3BEE"/>
    <w:rsid w:val="001D38FC"/>
    <w:rsid w:val="001F0F07"/>
    <w:rsid w:val="001F4C21"/>
    <w:rsid w:val="001F6933"/>
    <w:rsid w:val="00202748"/>
    <w:rsid w:val="002154BA"/>
    <w:rsid w:val="002401BD"/>
    <w:rsid w:val="00241C39"/>
    <w:rsid w:val="00242337"/>
    <w:rsid w:val="0026321D"/>
    <w:rsid w:val="0026571D"/>
    <w:rsid w:val="00265E32"/>
    <w:rsid w:val="002855BF"/>
    <w:rsid w:val="00293345"/>
    <w:rsid w:val="002B4634"/>
    <w:rsid w:val="002C4096"/>
    <w:rsid w:val="002C5F24"/>
    <w:rsid w:val="002C6289"/>
    <w:rsid w:val="002D2E77"/>
    <w:rsid w:val="002D3DBE"/>
    <w:rsid w:val="002D44B6"/>
    <w:rsid w:val="002D45C2"/>
    <w:rsid w:val="002E27EF"/>
    <w:rsid w:val="002E4280"/>
    <w:rsid w:val="002F4936"/>
    <w:rsid w:val="00337999"/>
    <w:rsid w:val="00344EDA"/>
    <w:rsid w:val="00354063"/>
    <w:rsid w:val="0036468A"/>
    <w:rsid w:val="003A52B2"/>
    <w:rsid w:val="003A7056"/>
    <w:rsid w:val="003B3466"/>
    <w:rsid w:val="003B41B4"/>
    <w:rsid w:val="003B5390"/>
    <w:rsid w:val="003D6F3F"/>
    <w:rsid w:val="003D7B5D"/>
    <w:rsid w:val="004013E8"/>
    <w:rsid w:val="0043303F"/>
    <w:rsid w:val="00436E7D"/>
    <w:rsid w:val="00444EE2"/>
    <w:rsid w:val="00444FE0"/>
    <w:rsid w:val="00447ED7"/>
    <w:rsid w:val="00475A58"/>
    <w:rsid w:val="00483036"/>
    <w:rsid w:val="00484405"/>
    <w:rsid w:val="00487C12"/>
    <w:rsid w:val="00497DBE"/>
    <w:rsid w:val="004B757D"/>
    <w:rsid w:val="004C3433"/>
    <w:rsid w:val="00501D79"/>
    <w:rsid w:val="005265CC"/>
    <w:rsid w:val="00534594"/>
    <w:rsid w:val="00540C31"/>
    <w:rsid w:val="005427C7"/>
    <w:rsid w:val="005457D3"/>
    <w:rsid w:val="00553009"/>
    <w:rsid w:val="00565063"/>
    <w:rsid w:val="00597F50"/>
    <w:rsid w:val="005B6933"/>
    <w:rsid w:val="005C5A54"/>
    <w:rsid w:val="005D5E11"/>
    <w:rsid w:val="005D63CF"/>
    <w:rsid w:val="005E22AD"/>
    <w:rsid w:val="005E3632"/>
    <w:rsid w:val="005E5193"/>
    <w:rsid w:val="005F2347"/>
    <w:rsid w:val="00620EF2"/>
    <w:rsid w:val="00622123"/>
    <w:rsid w:val="0063768F"/>
    <w:rsid w:val="00652712"/>
    <w:rsid w:val="00653475"/>
    <w:rsid w:val="00656988"/>
    <w:rsid w:val="006665B7"/>
    <w:rsid w:val="00667536"/>
    <w:rsid w:val="00677ECC"/>
    <w:rsid w:val="00681566"/>
    <w:rsid w:val="006820F9"/>
    <w:rsid w:val="006835BC"/>
    <w:rsid w:val="006A1AB7"/>
    <w:rsid w:val="006C547E"/>
    <w:rsid w:val="006D1204"/>
    <w:rsid w:val="006D6CF1"/>
    <w:rsid w:val="006F27CD"/>
    <w:rsid w:val="006F6C6C"/>
    <w:rsid w:val="007012DD"/>
    <w:rsid w:val="0071205B"/>
    <w:rsid w:val="00712249"/>
    <w:rsid w:val="007128B4"/>
    <w:rsid w:val="0072203D"/>
    <w:rsid w:val="00722CD7"/>
    <w:rsid w:val="00723AC5"/>
    <w:rsid w:val="00730A41"/>
    <w:rsid w:val="00756F0A"/>
    <w:rsid w:val="007632D3"/>
    <w:rsid w:val="007632F6"/>
    <w:rsid w:val="007637A9"/>
    <w:rsid w:val="00765C84"/>
    <w:rsid w:val="00767399"/>
    <w:rsid w:val="007A07B7"/>
    <w:rsid w:val="007A3AF0"/>
    <w:rsid w:val="007A625A"/>
    <w:rsid w:val="007C1F56"/>
    <w:rsid w:val="007D3CFD"/>
    <w:rsid w:val="007E569F"/>
    <w:rsid w:val="00803BDA"/>
    <w:rsid w:val="00822087"/>
    <w:rsid w:val="00835046"/>
    <w:rsid w:val="008369AF"/>
    <w:rsid w:val="008449A6"/>
    <w:rsid w:val="00874AC0"/>
    <w:rsid w:val="0087629C"/>
    <w:rsid w:val="0089212D"/>
    <w:rsid w:val="008B64DE"/>
    <w:rsid w:val="008B775F"/>
    <w:rsid w:val="008B796C"/>
    <w:rsid w:val="008C5B71"/>
    <w:rsid w:val="008D4A3A"/>
    <w:rsid w:val="008D4BBA"/>
    <w:rsid w:val="008D5A47"/>
    <w:rsid w:val="008F6B7D"/>
    <w:rsid w:val="00906527"/>
    <w:rsid w:val="00923561"/>
    <w:rsid w:val="00930542"/>
    <w:rsid w:val="00932733"/>
    <w:rsid w:val="009512E5"/>
    <w:rsid w:val="009520E2"/>
    <w:rsid w:val="009546F6"/>
    <w:rsid w:val="00985C3E"/>
    <w:rsid w:val="00992CF2"/>
    <w:rsid w:val="009A2BFA"/>
    <w:rsid w:val="009B7B6D"/>
    <w:rsid w:val="009E740A"/>
    <w:rsid w:val="00A00DF4"/>
    <w:rsid w:val="00A0189D"/>
    <w:rsid w:val="00A04CE5"/>
    <w:rsid w:val="00A057EA"/>
    <w:rsid w:val="00A05E6D"/>
    <w:rsid w:val="00A361A5"/>
    <w:rsid w:val="00A45C4D"/>
    <w:rsid w:val="00A8298E"/>
    <w:rsid w:val="00AA3378"/>
    <w:rsid w:val="00AA53CD"/>
    <w:rsid w:val="00AB09CD"/>
    <w:rsid w:val="00AB2D88"/>
    <w:rsid w:val="00AD01EA"/>
    <w:rsid w:val="00AD40BB"/>
    <w:rsid w:val="00AD5AA8"/>
    <w:rsid w:val="00AF0144"/>
    <w:rsid w:val="00AF3A97"/>
    <w:rsid w:val="00AF6FF9"/>
    <w:rsid w:val="00B00DED"/>
    <w:rsid w:val="00B13276"/>
    <w:rsid w:val="00B224AB"/>
    <w:rsid w:val="00B23DC0"/>
    <w:rsid w:val="00B40674"/>
    <w:rsid w:val="00B4245B"/>
    <w:rsid w:val="00B54A55"/>
    <w:rsid w:val="00B73946"/>
    <w:rsid w:val="00B75D59"/>
    <w:rsid w:val="00B872E0"/>
    <w:rsid w:val="00B905DC"/>
    <w:rsid w:val="00BA5CFA"/>
    <w:rsid w:val="00BB1BFF"/>
    <w:rsid w:val="00BB4BF7"/>
    <w:rsid w:val="00BC3BD7"/>
    <w:rsid w:val="00BC42BB"/>
    <w:rsid w:val="00BD4F60"/>
    <w:rsid w:val="00BE06C7"/>
    <w:rsid w:val="00BE0B0A"/>
    <w:rsid w:val="00BE1374"/>
    <w:rsid w:val="00BF711F"/>
    <w:rsid w:val="00C0073B"/>
    <w:rsid w:val="00C10D7B"/>
    <w:rsid w:val="00C20EFF"/>
    <w:rsid w:val="00C35630"/>
    <w:rsid w:val="00C63752"/>
    <w:rsid w:val="00C97A0F"/>
    <w:rsid w:val="00CA5C6D"/>
    <w:rsid w:val="00CA7D5A"/>
    <w:rsid w:val="00CB1E1B"/>
    <w:rsid w:val="00CB77A2"/>
    <w:rsid w:val="00D3744E"/>
    <w:rsid w:val="00D61828"/>
    <w:rsid w:val="00D61E80"/>
    <w:rsid w:val="00D71FA3"/>
    <w:rsid w:val="00D84056"/>
    <w:rsid w:val="00DA41D1"/>
    <w:rsid w:val="00DB0676"/>
    <w:rsid w:val="00DB1EBF"/>
    <w:rsid w:val="00DB7D53"/>
    <w:rsid w:val="00DC4F5C"/>
    <w:rsid w:val="00DD0995"/>
    <w:rsid w:val="00DD7A29"/>
    <w:rsid w:val="00DE25E0"/>
    <w:rsid w:val="00DE41BF"/>
    <w:rsid w:val="00DE6944"/>
    <w:rsid w:val="00DF60FB"/>
    <w:rsid w:val="00E03C0C"/>
    <w:rsid w:val="00E06F74"/>
    <w:rsid w:val="00E07444"/>
    <w:rsid w:val="00E14398"/>
    <w:rsid w:val="00E342F5"/>
    <w:rsid w:val="00E4191A"/>
    <w:rsid w:val="00E427DA"/>
    <w:rsid w:val="00E51C58"/>
    <w:rsid w:val="00E55139"/>
    <w:rsid w:val="00E663E2"/>
    <w:rsid w:val="00E714AF"/>
    <w:rsid w:val="00E7426F"/>
    <w:rsid w:val="00E8200C"/>
    <w:rsid w:val="00E87834"/>
    <w:rsid w:val="00E9144F"/>
    <w:rsid w:val="00EA469F"/>
    <w:rsid w:val="00EC000B"/>
    <w:rsid w:val="00EC16AA"/>
    <w:rsid w:val="00EC2372"/>
    <w:rsid w:val="00ED23F1"/>
    <w:rsid w:val="00ED7B6F"/>
    <w:rsid w:val="00EF18BB"/>
    <w:rsid w:val="00EF6F38"/>
    <w:rsid w:val="00F04DD0"/>
    <w:rsid w:val="00F07A92"/>
    <w:rsid w:val="00F10BC6"/>
    <w:rsid w:val="00F27997"/>
    <w:rsid w:val="00F626F5"/>
    <w:rsid w:val="00F7728A"/>
    <w:rsid w:val="00FB5BCA"/>
    <w:rsid w:val="00FB7849"/>
    <w:rsid w:val="00FB7D58"/>
    <w:rsid w:val="00FC4A49"/>
    <w:rsid w:val="00FC53F1"/>
    <w:rsid w:val="00FC70FA"/>
    <w:rsid w:val="00FE3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F50"/>
  </w:style>
  <w:style w:type="paragraph" w:styleId="1">
    <w:name w:val="heading 1"/>
    <w:basedOn w:val="a"/>
    <w:next w:val="a"/>
    <w:link w:val="10"/>
    <w:uiPriority w:val="9"/>
    <w:qFormat/>
    <w:rsid w:val="00B73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6CF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45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B73946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3CF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3C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7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B6F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985C3E"/>
    <w:pPr>
      <w:widowControl w:val="0"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85C3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85C3E"/>
  </w:style>
  <w:style w:type="paragraph" w:customStyle="1" w:styleId="ConsPlusNonformat">
    <w:name w:val="ConsPlusNonformat"/>
    <w:rsid w:val="00B40674"/>
    <w:pPr>
      <w:widowControl w:val="0"/>
      <w:suppressAutoHyphens/>
      <w:autoSpaceDE w:val="0"/>
      <w:spacing w:after="0" w:line="240" w:lineRule="auto"/>
      <w:jc w:val="both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WW-Absatz-Standardschriftart">
    <w:name w:val="WW-Absatz-Standardschriftart"/>
    <w:rsid w:val="0048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2A3E0-4BD5-4455-AF89-0AB49722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Pilyasova K.M..</dc:creator>
  <cp:lastModifiedBy>Egoruschina T.N..</cp:lastModifiedBy>
  <cp:revision>41</cp:revision>
  <cp:lastPrinted>2024-07-23T05:17:00Z</cp:lastPrinted>
  <dcterms:created xsi:type="dcterms:W3CDTF">2023-12-19T13:49:00Z</dcterms:created>
  <dcterms:modified xsi:type="dcterms:W3CDTF">2026-04-21T07:30:00Z</dcterms:modified>
</cp:coreProperties>
</file>